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методической деятельности в дополнительном образовании</w:t>
            </w:r>
          </w:p>
          <w:p>
            <w:pPr>
              <w:jc w:val="center"/>
              <w:spacing w:after="0" w:line="240" w:lineRule="auto"/>
              <w:rPr>
                <w:sz w:val="32"/>
                <w:szCs w:val="32"/>
              </w:rPr>
            </w:pPr>
            <w:r>
              <w:rPr>
                <w:rFonts w:ascii="Times New Roman" w:hAnsi="Times New Roman" w:cs="Times New Roman"/>
                <w:color w:val="#000000"/>
                <w:sz w:val="32"/>
                <w:szCs w:val="32"/>
              </w:rPr>
              <w:t> К.М.05.02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«Дополнительное образование детей»</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801.63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методической деятельности в дополнительном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К.М.05.02 «Основы методической деятельности в дополнительном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методической деятельности в дополнительном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нести ответственность за собственную профессиональную компетентность по профилю осваиваемой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особенности профессиональной  деятельности  в образовании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к профессиональной компетентности в сфере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пути и средства изучения и развития профессиональной компетентности в сфере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решать профессиональные  задачи  с  учетом различных  контекстов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проектировать  пути  своего профессионального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приемами анализа и  оценки  собственной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приемами анализа и  оценки программ,  механизмов  и  форм  развития профессиональной компетентности  на соответствующем  уровне образования</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педагогические процессы в условиях дополнительного образования, использовать при этом методологию и методы педагогического исследования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особенности педагогических  процессов различного  типа  в  условиях дополнительного образования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отбирать соответствующие  методы  и  приемы педагогического исследования  в процессе  конструирования педагогических  процессов  в условиях дополнительного образования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профессиональными  практическими  умениями,  необходимыми  для конструирования  педагогических процессов  различного  типа  в условиях дополнительного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и оценку качества реализации дополнительных общеобразовательных программ</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особенности проведения мониторинга в условиях дополнительного образования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уметь отбирать инструментарий  и  методы  для проведения  мониторинга  и оценки качества  реализации дополнительных общеобразовательных  программ</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уметь оформлять результаты мониторинга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владеть способами осуществления оценки методов  и приемов  мониторинговых исследований</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владеть методами  и приемами  мониторинговых исследований</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свои ресурсы (личностные, психофизиологические, ситуативные, временные и т.д.)</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приоритеты собственной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цели собственной деятельности, ресурсы, условия, средства  развития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способы оценки эффективности использования времени для совершенствования своей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способы совершенствования своей деятельности на основе приобретения новых знаний и умений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выстраивать планы  достижения приоритетов собственной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навыками критического оценивания эффективности использования ресурсов для совершенствования своей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К.М.05.02 «Основы методической деятельности в дополнительном образовании» относится к обязательной части, является дисциплиной Блока Б1. «Дисциплины (модули)». Модуль "Методическая деятельность педагога дополнительного образования детей"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Анализ учебных занятий в дополнительном образовании детей</w:t>
            </w:r>
          </w:p>
          <w:p>
            <w:pPr>
              <w:jc w:val="center"/>
              <w:spacing w:after="0" w:line="240" w:lineRule="auto"/>
              <w:rPr>
                <w:sz w:val="22"/>
                <w:szCs w:val="22"/>
              </w:rPr>
            </w:pPr>
            <w:r>
              <w:rPr>
                <w:rFonts w:ascii="Times New Roman" w:hAnsi="Times New Roman" w:cs="Times New Roman"/>
                <w:color w:val="#000000"/>
                <w:sz w:val="22"/>
                <w:szCs w:val="22"/>
              </w:rPr>
              <w:t> Оценка результатов освоения дополнительной образовательной программы</w:t>
            </w:r>
          </w:p>
          <w:p>
            <w:pPr>
              <w:jc w:val="center"/>
              <w:spacing w:after="0" w:line="240" w:lineRule="auto"/>
              <w:rPr>
                <w:sz w:val="22"/>
                <w:szCs w:val="22"/>
              </w:rPr>
            </w:pPr>
            <w:r>
              <w:rPr>
                <w:rFonts w:ascii="Times New Roman" w:hAnsi="Times New Roman" w:cs="Times New Roman"/>
                <w:color w:val="#000000"/>
                <w:sz w:val="22"/>
                <w:szCs w:val="22"/>
              </w:rPr>
              <w:t> Модуль "Методическая деятельность педагога дополнительного образования детей"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"Теория и практика исследований в дополнительном образовании детей"</w:t>
            </w:r>
          </w:p>
          <w:p>
            <w:pPr>
              <w:jc w:val="center"/>
              <w:spacing w:after="0" w:line="240" w:lineRule="auto"/>
              <w:rPr>
                <w:sz w:val="22"/>
                <w:szCs w:val="22"/>
              </w:rPr>
            </w:pPr>
            <w:r>
              <w:rPr>
                <w:rFonts w:ascii="Times New Roman" w:hAnsi="Times New Roman" w:cs="Times New Roman"/>
                <w:color w:val="#000000"/>
                <w:sz w:val="22"/>
                <w:szCs w:val="22"/>
              </w:rPr>
              <w:t> Проектирование и реализация дополнительных общеобразовательных программ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ПК-1, ПК-6,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методической деятельности в дополнительном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478.2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Направления</w:t>
            </w:r>
          </w:p>
          <w:p>
            <w:pPr>
              <w:jc w:val="left"/>
              <w:spacing w:after="0" w:line="240" w:lineRule="auto"/>
              <w:rPr>
                <w:sz w:val="24"/>
                <w:szCs w:val="24"/>
              </w:rPr>
            </w:pPr>
            <w:r>
              <w:rPr>
                <w:rFonts w:ascii="Times New Roman" w:hAnsi="Times New Roman" w:cs="Times New Roman"/>
                <w:color w:val="#000000"/>
                <w:sz w:val="24"/>
                <w:szCs w:val="24"/>
              </w:rPr>
              <w:t> и</w:t>
            </w:r>
          </w:p>
          <w:p>
            <w:pPr>
              <w:jc w:val="left"/>
              <w:spacing w:after="0" w:line="240" w:lineRule="auto"/>
              <w:rPr>
                <w:sz w:val="24"/>
                <w:szCs w:val="24"/>
              </w:rPr>
            </w:pPr>
            <w:r>
              <w:rPr>
                <w:rFonts w:ascii="Times New Roman" w:hAnsi="Times New Roman" w:cs="Times New Roman"/>
                <w:color w:val="#000000"/>
                <w:sz w:val="24"/>
                <w:szCs w:val="24"/>
              </w:rPr>
              <w:t> содержание</w:t>
            </w:r>
          </w:p>
          <w:p>
            <w:pPr>
              <w:jc w:val="left"/>
              <w:spacing w:after="0" w:line="240" w:lineRule="auto"/>
              <w:rPr>
                <w:sz w:val="24"/>
                <w:szCs w:val="24"/>
              </w:rPr>
            </w:pPr>
            <w:r>
              <w:rPr>
                <w:rFonts w:ascii="Times New Roman" w:hAnsi="Times New Roman" w:cs="Times New Roman"/>
                <w:color w:val="#000000"/>
                <w:sz w:val="24"/>
                <w:szCs w:val="24"/>
              </w:rPr>
              <w:t> дополнительного</w:t>
            </w:r>
          </w:p>
          <w:p>
            <w:pPr>
              <w:jc w:val="left"/>
              <w:spacing w:after="0" w:line="240" w:lineRule="auto"/>
              <w:rPr>
                <w:sz w:val="24"/>
                <w:szCs w:val="24"/>
              </w:rPr>
            </w:pPr>
            <w:r>
              <w:rPr>
                <w:rFonts w:ascii="Times New Roman" w:hAnsi="Times New Roman" w:cs="Times New Roman"/>
                <w:color w:val="#000000"/>
                <w:sz w:val="24"/>
                <w:szCs w:val="24"/>
              </w:rPr>
              <w:t> образования как необходимого</w:t>
            </w:r>
          </w:p>
          <w:p>
            <w:pPr>
              <w:jc w:val="left"/>
              <w:spacing w:after="0" w:line="240" w:lineRule="auto"/>
              <w:rPr>
                <w:sz w:val="24"/>
                <w:szCs w:val="24"/>
              </w:rPr>
            </w:pPr>
            <w:r>
              <w:rPr>
                <w:rFonts w:ascii="Times New Roman" w:hAnsi="Times New Roman" w:cs="Times New Roman"/>
                <w:color w:val="#000000"/>
                <w:sz w:val="24"/>
                <w:szCs w:val="24"/>
              </w:rPr>
              <w:t> звена</w:t>
            </w:r>
          </w:p>
          <w:p>
            <w:pPr>
              <w:jc w:val="left"/>
              <w:spacing w:after="0" w:line="240" w:lineRule="auto"/>
              <w:rPr>
                <w:sz w:val="24"/>
                <w:szCs w:val="24"/>
              </w:rPr>
            </w:pPr>
            <w:r>
              <w:rPr>
                <w:rFonts w:ascii="Times New Roman" w:hAnsi="Times New Roman" w:cs="Times New Roman"/>
                <w:color w:val="#000000"/>
                <w:sz w:val="24"/>
                <w:szCs w:val="24"/>
              </w:rPr>
              <w:t> всей</w:t>
            </w:r>
          </w:p>
          <w:p>
            <w:pPr>
              <w:jc w:val="left"/>
              <w:spacing w:after="0" w:line="240" w:lineRule="auto"/>
              <w:rPr>
                <w:sz w:val="24"/>
                <w:szCs w:val="24"/>
              </w:rPr>
            </w:pPr>
            <w:r>
              <w:rPr>
                <w:rFonts w:ascii="Times New Roman" w:hAnsi="Times New Roman" w:cs="Times New Roman"/>
                <w:color w:val="#000000"/>
                <w:sz w:val="24"/>
                <w:szCs w:val="24"/>
              </w:rPr>
              <w:t> педагогической</w:t>
            </w:r>
          </w:p>
          <w:p>
            <w:pPr>
              <w:jc w:val="left"/>
              <w:spacing w:after="0" w:line="240" w:lineRule="auto"/>
              <w:rPr>
                <w:sz w:val="24"/>
                <w:szCs w:val="24"/>
              </w:rPr>
            </w:pPr>
            <w:r>
              <w:rPr>
                <w:rFonts w:ascii="Times New Roman" w:hAnsi="Times New Roman" w:cs="Times New Roman"/>
                <w:color w:val="#000000"/>
                <w:sz w:val="24"/>
                <w:szCs w:val="24"/>
              </w:rPr>
              <w:t>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w:t>
            </w:r>
          </w:p>
          <w:p>
            <w:pPr>
              <w:jc w:val="left"/>
              <w:spacing w:after="0" w:line="240" w:lineRule="auto"/>
              <w:rPr>
                <w:sz w:val="24"/>
                <w:szCs w:val="24"/>
              </w:rPr>
            </w:pPr>
            <w:r>
              <w:rPr>
                <w:rFonts w:ascii="Times New Roman" w:hAnsi="Times New Roman" w:cs="Times New Roman"/>
                <w:color w:val="#000000"/>
                <w:sz w:val="24"/>
                <w:szCs w:val="24"/>
              </w:rPr>
              <w:t> Содержательные</w:t>
            </w:r>
          </w:p>
          <w:p>
            <w:pPr>
              <w:jc w:val="left"/>
              <w:spacing w:after="0" w:line="240" w:lineRule="auto"/>
              <w:rPr>
                <w:sz w:val="24"/>
                <w:szCs w:val="24"/>
              </w:rPr>
            </w:pPr>
            <w:r>
              <w:rPr>
                <w:rFonts w:ascii="Times New Roman" w:hAnsi="Times New Roman" w:cs="Times New Roman"/>
                <w:color w:val="#000000"/>
                <w:sz w:val="24"/>
                <w:szCs w:val="24"/>
              </w:rPr>
              <w:t> характеристики программ</w:t>
            </w:r>
          </w:p>
          <w:p>
            <w:pPr>
              <w:jc w:val="left"/>
              <w:spacing w:after="0" w:line="240" w:lineRule="auto"/>
              <w:rPr>
                <w:sz w:val="24"/>
                <w:szCs w:val="24"/>
              </w:rPr>
            </w:pPr>
            <w:r>
              <w:rPr>
                <w:rFonts w:ascii="Times New Roman" w:hAnsi="Times New Roman" w:cs="Times New Roman"/>
                <w:color w:val="#000000"/>
                <w:sz w:val="24"/>
                <w:szCs w:val="24"/>
              </w:rPr>
              <w:t> обучения в разных формах</w:t>
            </w:r>
          </w:p>
          <w:p>
            <w:pPr>
              <w:jc w:val="left"/>
              <w:spacing w:after="0" w:line="240" w:lineRule="auto"/>
              <w:rPr>
                <w:sz w:val="24"/>
                <w:szCs w:val="24"/>
              </w:rPr>
            </w:pPr>
            <w:r>
              <w:rPr>
                <w:rFonts w:ascii="Times New Roman" w:hAnsi="Times New Roman" w:cs="Times New Roman"/>
                <w:color w:val="#000000"/>
                <w:sz w:val="24"/>
                <w:szCs w:val="24"/>
              </w:rPr>
              <w:t> организаций системы</w:t>
            </w:r>
          </w:p>
          <w:p>
            <w:pPr>
              <w:jc w:val="left"/>
              <w:spacing w:after="0" w:line="240" w:lineRule="auto"/>
              <w:rPr>
                <w:sz w:val="24"/>
                <w:szCs w:val="24"/>
              </w:rPr>
            </w:pPr>
            <w:r>
              <w:rPr>
                <w:rFonts w:ascii="Times New Roman" w:hAnsi="Times New Roman" w:cs="Times New Roman"/>
                <w:color w:val="#000000"/>
                <w:sz w:val="24"/>
                <w:szCs w:val="24"/>
              </w:rPr>
              <w:t> дополнительного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прикладные аспекты методической работы педагога дополнительного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методической работы педагога дополнительного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639.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Направления</w:t>
            </w:r>
          </w:p>
          <w:p>
            <w:pPr>
              <w:jc w:val="center"/>
              <w:spacing w:after="0" w:line="240" w:lineRule="auto"/>
              <w:rPr>
                <w:sz w:val="24"/>
                <w:szCs w:val="24"/>
              </w:rPr>
            </w:pPr>
            <w:r>
              <w:rPr>
                <w:rFonts w:ascii="Times New Roman" w:hAnsi="Times New Roman" w:cs="Times New Roman"/>
                <w:b/>
                <w:color w:val="#000000"/>
                <w:sz w:val="24"/>
                <w:szCs w:val="24"/>
              </w:rPr>
              <w:t> и</w:t>
            </w:r>
          </w:p>
          <w:p>
            <w:pPr>
              <w:jc w:val="center"/>
              <w:spacing w:after="0" w:line="240" w:lineRule="auto"/>
              <w:rPr>
                <w:sz w:val="24"/>
                <w:szCs w:val="24"/>
              </w:rPr>
            </w:pPr>
            <w:r>
              <w:rPr>
                <w:rFonts w:ascii="Times New Roman" w:hAnsi="Times New Roman" w:cs="Times New Roman"/>
                <w:b/>
                <w:color w:val="#000000"/>
                <w:sz w:val="24"/>
                <w:szCs w:val="24"/>
              </w:rPr>
              <w:t> содержание</w:t>
            </w:r>
          </w:p>
          <w:p>
            <w:pPr>
              <w:jc w:val="center"/>
              <w:spacing w:after="0" w:line="240" w:lineRule="auto"/>
              <w:rPr>
                <w:sz w:val="24"/>
                <w:szCs w:val="24"/>
              </w:rPr>
            </w:pPr>
            <w:r>
              <w:rPr>
                <w:rFonts w:ascii="Times New Roman" w:hAnsi="Times New Roman" w:cs="Times New Roman"/>
                <w:b/>
                <w:color w:val="#000000"/>
                <w:sz w:val="24"/>
                <w:szCs w:val="24"/>
              </w:rPr>
              <w:t> дополнительного</w:t>
            </w:r>
          </w:p>
          <w:p>
            <w:pPr>
              <w:jc w:val="center"/>
              <w:spacing w:after="0" w:line="240" w:lineRule="auto"/>
              <w:rPr>
                <w:sz w:val="24"/>
                <w:szCs w:val="24"/>
              </w:rPr>
            </w:pPr>
            <w:r>
              <w:rPr>
                <w:rFonts w:ascii="Times New Roman" w:hAnsi="Times New Roman" w:cs="Times New Roman"/>
                <w:b/>
                <w:color w:val="#000000"/>
                <w:sz w:val="24"/>
                <w:szCs w:val="24"/>
              </w:rPr>
              <w:t> образования как необходимого</w:t>
            </w:r>
          </w:p>
          <w:p>
            <w:pPr>
              <w:jc w:val="center"/>
              <w:spacing w:after="0" w:line="240" w:lineRule="auto"/>
              <w:rPr>
                <w:sz w:val="24"/>
                <w:szCs w:val="24"/>
              </w:rPr>
            </w:pPr>
            <w:r>
              <w:rPr>
                <w:rFonts w:ascii="Times New Roman" w:hAnsi="Times New Roman" w:cs="Times New Roman"/>
                <w:b/>
                <w:color w:val="#000000"/>
                <w:sz w:val="24"/>
                <w:szCs w:val="24"/>
              </w:rPr>
              <w:t> звена</w:t>
            </w:r>
          </w:p>
          <w:p>
            <w:pPr>
              <w:jc w:val="center"/>
              <w:spacing w:after="0" w:line="240" w:lineRule="auto"/>
              <w:rPr>
                <w:sz w:val="24"/>
                <w:szCs w:val="24"/>
              </w:rPr>
            </w:pPr>
            <w:r>
              <w:rPr>
                <w:rFonts w:ascii="Times New Roman" w:hAnsi="Times New Roman" w:cs="Times New Roman"/>
                <w:b/>
                <w:color w:val="#000000"/>
                <w:sz w:val="24"/>
                <w:szCs w:val="24"/>
              </w:rPr>
              <w:t> всей</w:t>
            </w:r>
          </w:p>
          <w:p>
            <w:pPr>
              <w:jc w:val="center"/>
              <w:spacing w:after="0" w:line="240" w:lineRule="auto"/>
              <w:rPr>
                <w:sz w:val="24"/>
                <w:szCs w:val="24"/>
              </w:rPr>
            </w:pPr>
            <w:r>
              <w:rPr>
                <w:rFonts w:ascii="Times New Roman" w:hAnsi="Times New Roman" w:cs="Times New Roman"/>
                <w:b/>
                <w:color w:val="#000000"/>
                <w:sz w:val="24"/>
                <w:szCs w:val="24"/>
              </w:rPr>
              <w:t> педагогической</w:t>
            </w:r>
          </w:p>
          <w:p>
            <w:pPr>
              <w:jc w:val="center"/>
              <w:spacing w:after="0" w:line="240" w:lineRule="auto"/>
              <w:rPr>
                <w:sz w:val="24"/>
                <w:szCs w:val="24"/>
              </w:rPr>
            </w:pPr>
            <w:r>
              <w:rPr>
                <w:rFonts w:ascii="Times New Roman" w:hAnsi="Times New Roman" w:cs="Times New Roman"/>
                <w:b/>
                <w:color w:val="#000000"/>
                <w:sz w:val="24"/>
                <w:szCs w:val="24"/>
              </w:rPr>
              <w:t> системы.</w:t>
            </w:r>
          </w:p>
        </w:tc>
      </w:tr>
      <w:tr>
        <w:trPr>
          <w:trHeight w:hRule="exact" w:val="2451.51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666.83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w:t>
            </w:r>
          </w:p>
          <w:p>
            <w:pPr>
              <w:jc w:val="center"/>
              <w:spacing w:after="0" w:line="240" w:lineRule="auto"/>
              <w:rPr>
                <w:sz w:val="24"/>
                <w:szCs w:val="24"/>
              </w:rPr>
            </w:pPr>
            <w:r>
              <w:rPr>
                <w:rFonts w:ascii="Times New Roman" w:hAnsi="Times New Roman" w:cs="Times New Roman"/>
                <w:b/>
                <w:color w:val="#000000"/>
                <w:sz w:val="24"/>
                <w:szCs w:val="24"/>
              </w:rPr>
              <w:t> Содержательные</w:t>
            </w:r>
          </w:p>
          <w:p>
            <w:pPr>
              <w:jc w:val="center"/>
              <w:spacing w:after="0" w:line="240" w:lineRule="auto"/>
              <w:rPr>
                <w:sz w:val="24"/>
                <w:szCs w:val="24"/>
              </w:rPr>
            </w:pPr>
            <w:r>
              <w:rPr>
                <w:rFonts w:ascii="Times New Roman" w:hAnsi="Times New Roman" w:cs="Times New Roman"/>
                <w:b/>
                <w:color w:val="#000000"/>
                <w:sz w:val="24"/>
                <w:szCs w:val="24"/>
              </w:rPr>
              <w:t> характеристики программ</w:t>
            </w:r>
          </w:p>
          <w:p>
            <w:pPr>
              <w:jc w:val="center"/>
              <w:spacing w:after="0" w:line="240" w:lineRule="auto"/>
              <w:rPr>
                <w:sz w:val="24"/>
                <w:szCs w:val="24"/>
              </w:rPr>
            </w:pPr>
            <w:r>
              <w:rPr>
                <w:rFonts w:ascii="Times New Roman" w:hAnsi="Times New Roman" w:cs="Times New Roman"/>
                <w:b/>
                <w:color w:val="#000000"/>
                <w:sz w:val="24"/>
                <w:szCs w:val="24"/>
              </w:rPr>
              <w:t> обучения в разных формах</w:t>
            </w:r>
          </w:p>
          <w:p>
            <w:pPr>
              <w:jc w:val="center"/>
              <w:spacing w:after="0" w:line="240" w:lineRule="auto"/>
              <w:rPr>
                <w:sz w:val="24"/>
                <w:szCs w:val="24"/>
              </w:rPr>
            </w:pPr>
            <w:r>
              <w:rPr>
                <w:rFonts w:ascii="Times New Roman" w:hAnsi="Times New Roman" w:cs="Times New Roman"/>
                <w:b/>
                <w:color w:val="#000000"/>
                <w:sz w:val="24"/>
                <w:szCs w:val="24"/>
              </w:rPr>
              <w:t> организаций системы</w:t>
            </w:r>
          </w:p>
          <w:p>
            <w:pPr>
              <w:jc w:val="center"/>
              <w:spacing w:after="0" w:line="240" w:lineRule="auto"/>
              <w:rPr>
                <w:sz w:val="24"/>
                <w:szCs w:val="24"/>
              </w:rPr>
            </w:pPr>
            <w:r>
              <w:rPr>
                <w:rFonts w:ascii="Times New Roman" w:hAnsi="Times New Roman" w:cs="Times New Roman"/>
                <w:b/>
                <w:color w:val="#000000"/>
                <w:sz w:val="24"/>
                <w:szCs w:val="24"/>
              </w:rPr>
              <w:t> дополнительного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прикладные аспекты методической работы педагога дополнительного образования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обеспечение программы методическими видами продукции (разработки игр, бесед, походов, экскурсий, конкурсов, конференций и т.д.);</w:t>
            </w:r>
          </w:p>
          <w:p>
            <w:pPr>
              <w:jc w:val="left"/>
              <w:spacing w:after="0" w:line="240" w:lineRule="auto"/>
              <w:rPr>
                <w:sz w:val="24"/>
                <w:szCs w:val="24"/>
              </w:rPr>
            </w:pPr>
            <w:r>
              <w:rPr>
                <w:rFonts w:ascii="Times New Roman" w:hAnsi="Times New Roman" w:cs="Times New Roman"/>
                <w:color w:val="#000000"/>
                <w:sz w:val="24"/>
                <w:szCs w:val="24"/>
              </w:rPr>
              <w:t> 2.	рекомендации по проведению лабораторных и практических работ, по постановке экспериментов или опытов и т.д.;</w:t>
            </w:r>
          </w:p>
          <w:p>
            <w:pPr>
              <w:jc w:val="left"/>
              <w:spacing w:after="0" w:line="240" w:lineRule="auto"/>
              <w:rPr>
                <w:sz w:val="24"/>
                <w:szCs w:val="24"/>
              </w:rPr>
            </w:pPr>
            <w:r>
              <w:rPr>
                <w:rFonts w:ascii="Times New Roman" w:hAnsi="Times New Roman" w:cs="Times New Roman"/>
                <w:color w:val="#000000"/>
                <w:sz w:val="24"/>
                <w:szCs w:val="24"/>
              </w:rPr>
              <w:t> 3.	дидактический и лекционный материалы, методики по исследовательской работе, тематика опытнической или исследовательской работы и т.д.</w:t>
            </w:r>
          </w:p>
          <w:p>
            <w:pPr>
              <w:jc w:val="left"/>
              <w:spacing w:after="0" w:line="240" w:lineRule="auto"/>
              <w:rPr>
                <w:sz w:val="24"/>
                <w:szCs w:val="24"/>
              </w:rPr>
            </w:pPr>
            <w:r>
              <w:rPr>
                <w:rFonts w:ascii="Times New Roman" w:hAnsi="Times New Roman" w:cs="Times New Roman"/>
                <w:color w:val="#000000"/>
                <w:sz w:val="24"/>
                <w:szCs w:val="24"/>
              </w:rPr>
              <w:t> Методическое обеспечение программы может быть представлено в таблице.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методической работы педагога дополнительного образования</w:t>
            </w:r>
          </w:p>
        </w:tc>
      </w:tr>
      <w:tr>
        <w:trPr>
          <w:trHeight w:hRule="exact" w:val="21.31518"/>
        </w:trPr>
        <w:tc>
          <w:tcPr>
            <w:tcW w:w="9640" w:type="dxa"/>
          </w:tcPr>
          <w:p/>
        </w:tc>
      </w:tr>
      <w:tr>
        <w:trPr>
          <w:trHeight w:hRule="exact" w:val="3105.52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Возможные формы занятий: традиционное занятие, комбинированное занятие, лекция, семинар, практическое занятие, лабораторная работа, тренинг, игра (деловая, ролевая), праздник, аукцион, путешествие, поход, экскурсия, мастерская, гостиная, защита проектов, дискуссия, диспут, суд, зачет, конкурс, КВН, эстафета, соревнование, турнир, конференция, пресс-конференция, фестиваль, творческая встреча, концерт, репетиция и т.д.</w:t>
            </w:r>
          </w:p>
          <w:p>
            <w:pPr>
              <w:jc w:val="left"/>
              <w:spacing w:after="0" w:line="240" w:lineRule="auto"/>
              <w:rPr>
                <w:sz w:val="24"/>
                <w:szCs w:val="24"/>
              </w:rPr>
            </w:pPr>
            <w:r>
              <w:rPr>
                <w:rFonts w:ascii="Times New Roman" w:hAnsi="Times New Roman" w:cs="Times New Roman"/>
                <w:color w:val="#000000"/>
                <w:sz w:val="24"/>
                <w:szCs w:val="24"/>
              </w:rPr>
              <w:t> Приёмы и методы организации учебно-воспитательного процесса:</w:t>
            </w:r>
          </w:p>
          <w:p>
            <w:pPr>
              <w:jc w:val="left"/>
              <w:spacing w:after="0" w:line="240" w:lineRule="auto"/>
              <w:rPr>
                <w:sz w:val="24"/>
                <w:szCs w:val="24"/>
              </w:rPr>
            </w:pPr>
            <w:r>
              <w:rPr>
                <w:rFonts w:ascii="Times New Roman" w:hAnsi="Times New Roman" w:cs="Times New Roman"/>
                <w:color w:val="#000000"/>
                <w:sz w:val="24"/>
                <w:szCs w:val="24"/>
              </w:rPr>
              <w:t> Метод - способ деятельности.</w:t>
            </w:r>
          </w:p>
          <w:p>
            <w:pPr>
              <w:jc w:val="left"/>
              <w:spacing w:after="0" w:line="240" w:lineRule="auto"/>
              <w:rPr>
                <w:sz w:val="24"/>
                <w:szCs w:val="24"/>
              </w:rPr>
            </w:pPr>
            <w:r>
              <w:rPr>
                <w:rFonts w:ascii="Times New Roman" w:hAnsi="Times New Roman" w:cs="Times New Roman"/>
                <w:color w:val="#000000"/>
                <w:sz w:val="24"/>
                <w:szCs w:val="24"/>
              </w:rPr>
              <w:t> Методы, в основе которых лежит способ организации занятия:</w:t>
            </w:r>
          </w:p>
          <w:p>
            <w:pPr>
              <w:jc w:val="left"/>
              <w:spacing w:after="0" w:line="240" w:lineRule="auto"/>
              <w:rPr>
                <w:sz w:val="24"/>
                <w:szCs w:val="24"/>
              </w:rPr>
            </w:pPr>
            <w:r>
              <w:rPr>
                <w:rFonts w:ascii="Times New Roman" w:hAnsi="Times New Roman" w:cs="Times New Roman"/>
                <w:color w:val="#000000"/>
                <w:sz w:val="24"/>
                <w:szCs w:val="24"/>
              </w:rPr>
              <w:t> 1.	словесный (устное изложение, беседа, анализ текста и т.д.)</w:t>
            </w:r>
          </w:p>
          <w:p>
            <w:pPr>
              <w:jc w:val="left"/>
              <w:spacing w:after="0" w:line="240" w:lineRule="auto"/>
              <w:rPr>
                <w:sz w:val="24"/>
                <w:szCs w:val="24"/>
              </w:rPr>
            </w:pPr>
            <w:r>
              <w:rPr>
                <w:rFonts w:ascii="Times New Roman" w:hAnsi="Times New Roman" w:cs="Times New Roman"/>
                <w:color w:val="#000000"/>
                <w:sz w:val="24"/>
                <w:szCs w:val="24"/>
              </w:rPr>
              <w:t> 2.	наглядный (показ видеоматериалов, иллюстраций, наблюдение, показ</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48.6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(исполнение) педагогом, работа по образцу и др.)</w:t>
            </w:r>
          </w:p>
          <w:p>
            <w:pPr>
              <w:jc w:val="left"/>
              <w:spacing w:after="0" w:line="240" w:lineRule="auto"/>
              <w:rPr>
                <w:sz w:val="24"/>
                <w:szCs w:val="24"/>
              </w:rPr>
            </w:pPr>
            <w:r>
              <w:rPr>
                <w:rFonts w:ascii="Times New Roman" w:hAnsi="Times New Roman" w:cs="Times New Roman"/>
                <w:color w:val="#000000"/>
                <w:sz w:val="24"/>
                <w:szCs w:val="24"/>
              </w:rPr>
              <w:t> 3.	практический (тренинг, упражнения, лабораторные работы и др.)</w:t>
            </w:r>
          </w:p>
          <w:p>
            <w:pPr>
              <w:jc w:val="left"/>
              <w:spacing w:after="0" w:line="240" w:lineRule="auto"/>
              <w:rPr>
                <w:sz w:val="24"/>
                <w:szCs w:val="24"/>
              </w:rPr>
            </w:pPr>
            <w:r>
              <w:rPr>
                <w:rFonts w:ascii="Times New Roman" w:hAnsi="Times New Roman" w:cs="Times New Roman"/>
                <w:color w:val="#000000"/>
                <w:sz w:val="24"/>
                <w:szCs w:val="24"/>
              </w:rPr>
              <w:t> Методы, в основе которых лежит уровень деятельности детей:</w:t>
            </w:r>
          </w:p>
          <w:p>
            <w:pPr>
              <w:jc w:val="left"/>
              <w:spacing w:after="0" w:line="240" w:lineRule="auto"/>
              <w:rPr>
                <w:sz w:val="24"/>
                <w:szCs w:val="24"/>
              </w:rPr>
            </w:pPr>
            <w:r>
              <w:rPr>
                <w:rFonts w:ascii="Times New Roman" w:hAnsi="Times New Roman" w:cs="Times New Roman"/>
                <w:color w:val="#000000"/>
                <w:sz w:val="24"/>
                <w:szCs w:val="24"/>
              </w:rPr>
              <w:t> 1.	объяснительно-иллюстративный - дети воспринимают и усваивают готовую информацию</w:t>
            </w:r>
          </w:p>
          <w:p>
            <w:pPr>
              <w:jc w:val="left"/>
              <w:spacing w:after="0" w:line="240" w:lineRule="auto"/>
              <w:rPr>
                <w:sz w:val="24"/>
                <w:szCs w:val="24"/>
              </w:rPr>
            </w:pPr>
            <w:r>
              <w:rPr>
                <w:rFonts w:ascii="Times New Roman" w:hAnsi="Times New Roman" w:cs="Times New Roman"/>
                <w:color w:val="#000000"/>
                <w:sz w:val="24"/>
                <w:szCs w:val="24"/>
              </w:rPr>
              <w:t> 2.	репродуктивный - учащиеся воспроизводят полученные знания и освоенные способы деятельности</w:t>
            </w:r>
          </w:p>
          <w:p>
            <w:pPr>
              <w:jc w:val="left"/>
              <w:spacing w:after="0" w:line="240" w:lineRule="auto"/>
              <w:rPr>
                <w:sz w:val="24"/>
                <w:szCs w:val="24"/>
              </w:rPr>
            </w:pPr>
            <w:r>
              <w:rPr>
                <w:rFonts w:ascii="Times New Roman" w:hAnsi="Times New Roman" w:cs="Times New Roman"/>
                <w:color w:val="#000000"/>
                <w:sz w:val="24"/>
                <w:szCs w:val="24"/>
              </w:rPr>
              <w:t> 3.	частично-поисковый - участие детей в коллективном поиске, решение поставленной задачи совместно с педагогом</w:t>
            </w:r>
          </w:p>
          <w:p>
            <w:pPr>
              <w:jc w:val="left"/>
              <w:spacing w:after="0" w:line="240" w:lineRule="auto"/>
              <w:rPr>
                <w:sz w:val="24"/>
                <w:szCs w:val="24"/>
              </w:rPr>
            </w:pPr>
            <w:r>
              <w:rPr>
                <w:rFonts w:ascii="Times New Roman" w:hAnsi="Times New Roman" w:cs="Times New Roman"/>
                <w:color w:val="#000000"/>
                <w:sz w:val="24"/>
                <w:szCs w:val="24"/>
              </w:rPr>
              <w:t> 4.	исследовательский - самостоятельная творческая работа учащихся.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методической деятельности в дополнительном образовании» / Арбузова Е.Н..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организацией.</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учреждения</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https://urait.ru/bcode/432224</w:t>
            </w:r>
            <w:r>
              <w:rPr/>
              <w:t xml:space="preserve"> </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детьми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особыми</w:t>
            </w:r>
            <w:r>
              <w:rPr/>
              <w:t xml:space="preserve"> </w:t>
            </w:r>
            <w:r>
              <w:rPr>
                <w:rFonts w:ascii="Times New Roman" w:hAnsi="Times New Roman" w:cs="Times New Roman"/>
                <w:color w:val="#000000"/>
                <w:sz w:val="24"/>
                <w:szCs w:val="24"/>
              </w:rPr>
              <w:t>образовательными</w:t>
            </w:r>
            <w:r>
              <w:rPr/>
              <w:t xml:space="preserve"> </w:t>
            </w:r>
            <w:r>
              <w:rPr>
                <w:rFonts w:ascii="Times New Roman" w:hAnsi="Times New Roman" w:cs="Times New Roman"/>
                <w:color w:val="#000000"/>
                <w:sz w:val="24"/>
                <w:szCs w:val="24"/>
              </w:rPr>
              <w:t>потребностями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Кривунь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Тарханова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978-5-534-06162-8.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https://urait.ru/bcode/437113</w:t>
            </w:r>
            <w:r>
              <w:rPr/>
              <w:t xml:space="preserve"> </w:t>
            </w:r>
          </w:p>
        </w:tc>
      </w:tr>
      <w:tr>
        <w:trPr>
          <w:trHeight w:hRule="exact" w:val="277.8312"/>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программам</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Криницкая</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978-5-534-89561-2.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https://urait.ru/bcode/437130</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программам</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избранной</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Тарханова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Кривунь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978-5-534-06828-3.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https://urait.ru/bcode/441789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02.28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021.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2024-2025_ФГОС3++2024_Маг-ЗФО-ПО(ДО)(24)_plx_Основы методической деятельности в дополнительном образовании</dc:title>
  <dc:creator>FastReport.NET</dc:creator>
</cp:coreProperties>
</file>